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11058" w:rsidRDefault="00E11058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0"/>
          <w:lang w:eastAsia="ru-RU"/>
        </w:rPr>
      </w:pPr>
    </w:p>
    <w:p w:rsidR="00E11058" w:rsidRDefault="00244D2F">
      <w:pPr>
        <w:spacing w:after="0" w:line="240" w:lineRule="auto"/>
        <w:ind w:left="6096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Приложение № 12</w:t>
      </w:r>
      <w:r w:rsidR="00A70612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к Договору </w:t>
      </w:r>
    </w:p>
    <w:p w:rsidR="00E11058" w:rsidRDefault="00754C26">
      <w:pPr>
        <w:spacing w:after="0" w:line="240" w:lineRule="auto"/>
        <w:ind w:left="6096"/>
        <w:jc w:val="both"/>
        <w:rPr>
          <w:rFonts w:ascii="Times New Roman" w:eastAsia="Times New Roman" w:hAnsi="Times New Roman" w:cs="Times New Roman"/>
          <w:i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от __          </w:t>
      </w:r>
      <w:r w:rsidR="006A0B25">
        <w:rPr>
          <w:rFonts w:ascii="Times New Roman" w:eastAsia="Times New Roman" w:hAnsi="Times New Roman" w:cs="Times New Roman"/>
          <w:sz w:val="24"/>
          <w:szCs w:val="20"/>
          <w:lang w:eastAsia="ru-RU"/>
        </w:rPr>
        <w:t>№ 127/КЛЗ</w:t>
      </w:r>
      <w:bookmarkStart w:id="0" w:name="_GoBack"/>
      <w:bookmarkEnd w:id="0"/>
      <w:r w:rsidR="00B645CF">
        <w:rPr>
          <w:rFonts w:ascii="Times New Roman" w:eastAsia="Times New Roman" w:hAnsi="Times New Roman" w:cs="Times New Roman"/>
          <w:sz w:val="24"/>
          <w:szCs w:val="20"/>
          <w:lang w:eastAsia="ru-RU"/>
        </w:rPr>
        <w:t>О</w:t>
      </w:r>
      <w:r w:rsidR="00A70612">
        <w:rPr>
          <w:rFonts w:ascii="Times New Roman" w:eastAsia="Times New Roman" w:hAnsi="Times New Roman" w:cs="Times New Roman"/>
          <w:sz w:val="24"/>
          <w:szCs w:val="20"/>
          <w:lang w:eastAsia="ru-RU"/>
        </w:rPr>
        <w:t>/26</w:t>
      </w:r>
      <w:r w:rsidR="003C79D8">
        <w:rPr>
          <w:rFonts w:ascii="Times New Roman" w:eastAsia="Times New Roman" w:hAnsi="Times New Roman" w:cs="Times New Roman"/>
          <w:sz w:val="24"/>
          <w:szCs w:val="20"/>
          <w:lang w:eastAsia="ru-RU"/>
        </w:rPr>
        <w:t>-27</w:t>
      </w:r>
    </w:p>
    <w:p w:rsidR="00E11058" w:rsidRDefault="00E11058">
      <w:pPr>
        <w:spacing w:after="0" w:line="240" w:lineRule="auto"/>
        <w:ind w:left="5670"/>
        <w:jc w:val="both"/>
        <w:rPr>
          <w:rFonts w:ascii="Times New Roman" w:hAnsi="Times New Roman" w:cs="Times New Roman"/>
          <w:sz w:val="24"/>
          <w:szCs w:val="24"/>
        </w:rPr>
      </w:pPr>
    </w:p>
    <w:p w:rsidR="00E11058" w:rsidRDefault="00E1105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11058" w:rsidRDefault="00A70612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Условия Договора в отношении товаров, </w:t>
      </w:r>
    </w:p>
    <w:p w:rsidR="00E11058" w:rsidRDefault="00A70612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подлежащих прослеживаемости</w:t>
      </w:r>
    </w:p>
    <w:p w:rsidR="00E11058" w:rsidRDefault="00E1105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11058" w:rsidRDefault="00A7061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дополнение к положениям Договора, Стороны договорились о применении следующих условий в отношении товаров, подлежащих прослеживаемости (далее – Условия).</w:t>
      </w:r>
    </w:p>
    <w:p w:rsidR="00E11058" w:rsidRDefault="00A7061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В соответствии с п.1. ст.169 НК РФ при совершении операций с товарами, входящими в перечень товаров, подлежащих прослеживаемости, утвержденный Постановлением Правительства РФ от 01.07.2021 № 1110 «Об утверждении перечня товаров, подлежащих прослеживаемости», Подрядчик выставляет счета-фактуры или универсальные передаточные документы (далее - УПД), в том числе корректировочные счета-фактуры, в электронной форме по телекоммуникационным каналам связи через оператора электронного документооборота (далее - ЭДО), являющегося российской организацией и соответствующего требованиям, утвержденным федеральным органом исполнительной власти, уполномоченным по контролю и надзору в области налогов и сборов. </w:t>
      </w:r>
    </w:p>
    <w:p w:rsidR="00E11058" w:rsidRDefault="00A7061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Электронные счета-фактуры (УПД) должны содержать реквизиты прослеживаемости:  регистрационный номер партии товара, подлежащего прослеживаемости, количественную единицу измерения и количество прослеживаемых товаров.</w:t>
      </w:r>
    </w:p>
    <w:p w:rsidR="00E11058" w:rsidRDefault="00A7061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Подрядчик вправе запросить у Заказчика информацию об операторе ЭДО Заказчика в целях организации процедуры выставления электронных счетов-фактур (УПД).</w:t>
      </w:r>
    </w:p>
    <w:p w:rsidR="00E11058" w:rsidRDefault="00A7061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Если в результате исполнения Договора Подрядчиком передается товар, подлежащий прослеживаемости в соответствии с требованиями законодательства РФ, который входит в состав комплекта (набора) оборудования, а также при передаче такого товара в составе выполненных работ, Подрядчик обязуется на протяжении всего срока действия Договора обеспечить условия, необходимые для выставления и получения электронных счетов-фактур (УПД), включая следующие обязательства:</w:t>
      </w:r>
    </w:p>
    <w:p w:rsidR="00E11058" w:rsidRDefault="00A70612">
      <w:pPr>
        <w:pStyle w:val="af9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предоставлять в составе пакета документов по исполнению Договора письма о наличии или отсутствии в составе выполненных работ товаров, подлежащих прослеживаемости;</w:t>
      </w:r>
    </w:p>
    <w:p w:rsidR="00E11058" w:rsidRDefault="00A70612">
      <w:pPr>
        <w:pStyle w:val="af9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заключить договор с оператором ЭДО, включенным в перечень, опубликованный на официальном сайте ФНС России, через которого будут выставляться счета-фактуры (УПД);</w:t>
      </w:r>
    </w:p>
    <w:p w:rsidR="00E11058" w:rsidRDefault="00A70612">
      <w:pPr>
        <w:pStyle w:val="af9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предоставить оператору ЭДО заявление об участии в электронном документообороте;</w:t>
      </w:r>
    </w:p>
    <w:p w:rsidR="00E11058" w:rsidRDefault="00A70612">
      <w:pPr>
        <w:pStyle w:val="af9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получить у оператора ЭДО идентификатор участника ЭДО, реквизиты доступа и другие данные, необходимые для подключения к ЭДО, и предоставить Заказчику идентификатор ЭДО и информацию об операторе ЭДО Подрядчика для организации получения Заказчиком электронных счетов-фактур (УПД);</w:t>
      </w:r>
    </w:p>
    <w:p w:rsidR="00E11058" w:rsidRDefault="00A70612">
      <w:pPr>
        <w:pStyle w:val="af9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указывать стоимость прослеживаемого товара отдельно по каждому регистрационному номеру партии товара (РНПТ), а так же представить документы, подтверждающие происхождение товаров, а именно сертификаты соответствия, декларацию на товары, карточку проверки РНПТ на сайте ФНС;</w:t>
      </w:r>
    </w:p>
    <w:p w:rsidR="00E11058" w:rsidRDefault="00A70612">
      <w:pPr>
        <w:pStyle w:val="af9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предоставлять документы, подтверждающие полномочия лиц, подписавших акты, накладные, счета, счета-фактуры и иные первичные учетные документы,</w:t>
      </w:r>
      <w:r>
        <w:rPr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(заверенные надлежащим образом приказы, распоряжения, доверенности или иные </w:t>
      </w:r>
      <w:r>
        <w:rPr>
          <w:rFonts w:ascii="Times New Roman" w:hAnsi="Times New Roman" w:cs="Times New Roman"/>
          <w:sz w:val="24"/>
          <w:szCs w:val="24"/>
        </w:rPr>
        <w:lastRenderedPageBreak/>
        <w:t>аналогичные документы), в случае, если право их подписи предоставлено иным лицам,  кроме руководителя Подрядчика;</w:t>
      </w:r>
    </w:p>
    <w:p w:rsidR="00E11058" w:rsidRDefault="00A70612">
      <w:pPr>
        <w:pStyle w:val="af9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предпринять все необходимые меры, направленные на получение Заказчиком счетов-фактур (УПД) в электронной форме.</w:t>
      </w:r>
    </w:p>
    <w:p w:rsidR="00E11058" w:rsidRDefault="00A7061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Подрядчик обязан предпринять все необходимые меры по заключению договора с оператором ЭДО, не допуская перерыва в участии в ЭДО (в т. ч. своевременно и в полном объеме подготовить все необходимые документы, обратиться к оператору ЭДО, приобрести и поддерживать в работоспособном состоянии технические средства, необходимые для ЭДО). </w:t>
      </w:r>
    </w:p>
    <w:p w:rsidR="00E11058" w:rsidRDefault="00A7061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нарушении Подрядчиком обязательств, предусмотренных настоящим пунктом Условий, Заказчик вправе в одностороннем внесудебном порядке отказаться от Договора без каких-либо выплат и компенсаций Подрядчику (за исключением оплаты работ/товаров принятых Заказчиком до совершения нарушения), направив Подрядчику уведомление о расторжении договора, а также потребовать от Подрядчика возмещения убытков в полном размере. В этом случае договор считается расторгнутым со дня, следующего за днем получения Подрядчиком уведомления, предусмотренного настоящим пунктом Условий. </w:t>
      </w:r>
    </w:p>
    <w:p w:rsidR="00E11058" w:rsidRDefault="00A7061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Возмещение убытков в соответствии с настоящим пунктом Условий не освобождает Подрядчика от ответственности, предусмотренной иными положениями настоящих Условий или Договора.</w:t>
      </w:r>
    </w:p>
    <w:p w:rsidR="00E11058" w:rsidRDefault="00A70612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При нарушении Подрядчиком настоящих Условий Заказчик</w:t>
      </w:r>
      <w:r>
        <w:rPr>
          <w:rFonts w:ascii="Times New Roman" w:hAnsi="Times New Roman"/>
          <w:sz w:val="24"/>
          <w:szCs w:val="24"/>
        </w:rPr>
        <w:t xml:space="preserve"> имеет право начислить и взыскать с Подрядчика штраф в размере 10</w:t>
      </w:r>
      <w:r>
        <w:rPr>
          <w:rFonts w:ascii="Times New Roman" w:hAnsi="Times New Roman"/>
          <w:sz w:val="24"/>
          <w:szCs w:val="24"/>
          <w:lang w:val="en-US"/>
        </w:rPr>
        <w:t> </w:t>
      </w:r>
      <w:r>
        <w:rPr>
          <w:rFonts w:ascii="Times New Roman" w:hAnsi="Times New Roman"/>
          <w:sz w:val="24"/>
          <w:szCs w:val="24"/>
        </w:rPr>
        <w:t>000 (десять тысяч) рублей за каждый выявленный факт нарушения.</w:t>
      </w:r>
    </w:p>
    <w:p w:rsidR="00E11058" w:rsidRDefault="00E110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11058" w:rsidRDefault="00E110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11058" w:rsidRDefault="00E1105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11058" w:rsidRDefault="00E1105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854" w:type="dxa"/>
        <w:tblInd w:w="108" w:type="dxa"/>
        <w:shd w:val="clear" w:color="auto" w:fill="CED7E7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27"/>
        <w:gridCol w:w="4927"/>
      </w:tblGrid>
      <w:tr w:rsidR="00E11058">
        <w:trPr>
          <w:trHeight w:val="24"/>
        </w:trPr>
        <w:tc>
          <w:tcPr>
            <w:tcW w:w="4927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11058" w:rsidRDefault="00A70612">
            <w:pPr>
              <w:pStyle w:val="afa"/>
              <w:spacing w:after="0"/>
              <w:ind w:left="0" w:right="-8"/>
              <w:jc w:val="both"/>
              <w:rPr>
                <w:rFonts w:ascii="Times New Roman" w:hAnsi="Times New Roman" w:cs="Times New Roman"/>
                <w:sz w:val="24"/>
                <w:szCs w:val="26"/>
              </w:rPr>
            </w:pPr>
            <w:r>
              <w:rPr>
                <w:rFonts w:ascii="Times New Roman" w:hAnsi="Times New Roman" w:cs="Times New Roman"/>
                <w:sz w:val="24"/>
                <w:szCs w:val="26"/>
              </w:rPr>
              <w:t>ЗАКАЗЧИК:</w:t>
            </w:r>
          </w:p>
        </w:tc>
        <w:tc>
          <w:tcPr>
            <w:tcW w:w="4927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11058" w:rsidRDefault="00A70612">
            <w:pPr>
              <w:pStyle w:val="afa"/>
              <w:spacing w:after="0"/>
              <w:ind w:left="0" w:right="-8"/>
              <w:jc w:val="both"/>
              <w:rPr>
                <w:rFonts w:ascii="Times New Roman" w:hAnsi="Times New Roman" w:cs="Times New Roman"/>
                <w:sz w:val="24"/>
                <w:szCs w:val="26"/>
              </w:rPr>
            </w:pPr>
            <w:r>
              <w:rPr>
                <w:rFonts w:ascii="Times New Roman" w:hAnsi="Times New Roman" w:cs="Times New Roman"/>
                <w:sz w:val="24"/>
                <w:szCs w:val="26"/>
              </w:rPr>
              <w:t>ПОДРЯДЧИК:</w:t>
            </w:r>
          </w:p>
        </w:tc>
      </w:tr>
      <w:tr w:rsidR="00E11058">
        <w:trPr>
          <w:trHeight w:val="24"/>
        </w:trPr>
        <w:tc>
          <w:tcPr>
            <w:tcW w:w="4927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11058" w:rsidRDefault="00A70612">
            <w:pPr>
              <w:pStyle w:val="afa"/>
              <w:spacing w:after="0"/>
              <w:ind w:firstLine="26"/>
              <w:rPr>
                <w:rFonts w:ascii="Times New Roman" w:eastAsiaTheme="minorHAnsi" w:hAnsi="Times New Roman" w:cs="Times New Roman"/>
                <w:color w:val="auto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4"/>
                <w:szCs w:val="24"/>
                <w:lang w:eastAsia="en-US"/>
              </w:rPr>
              <w:t xml:space="preserve">Первый заместитель директора- </w:t>
            </w:r>
          </w:p>
          <w:p w:rsidR="00E11058" w:rsidRDefault="00A70612">
            <w:pPr>
              <w:pStyle w:val="afa"/>
              <w:spacing w:after="0"/>
              <w:ind w:hanging="5"/>
              <w:rPr>
                <w:rFonts w:ascii="Times New Roman" w:eastAsiaTheme="minorHAnsi" w:hAnsi="Times New Roman" w:cs="Times New Roman"/>
                <w:color w:val="auto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4"/>
                <w:szCs w:val="24"/>
                <w:lang w:eastAsia="en-US"/>
              </w:rPr>
              <w:t>главный инженер Филиала ПАО «Россети Московский регион» - Московские кабельные сети</w:t>
            </w:r>
          </w:p>
        </w:tc>
        <w:tc>
          <w:tcPr>
            <w:tcW w:w="4927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11058" w:rsidRDefault="00A70612">
            <w:pPr>
              <w:pStyle w:val="afa"/>
              <w:spacing w:after="0"/>
              <w:ind w:firstLine="26"/>
              <w:rPr>
                <w:rFonts w:ascii="Times New Roman" w:eastAsiaTheme="minorHAnsi" w:hAnsi="Times New Roman" w:cs="Times New Roman"/>
                <w:color w:val="auto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4"/>
                <w:szCs w:val="24"/>
                <w:lang w:eastAsia="en-US"/>
              </w:rPr>
              <w:t>Генеральный директор</w:t>
            </w:r>
          </w:p>
          <w:p w:rsidR="00E11058" w:rsidRDefault="003C79D8">
            <w:pPr>
              <w:pStyle w:val="afa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after="0"/>
              <w:ind w:firstLine="26"/>
              <w:rPr>
                <w:rFonts w:ascii="Times New Roman" w:eastAsiaTheme="minorHAnsi" w:hAnsi="Times New Roman" w:cs="Times New Roman"/>
                <w:color w:val="auto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4"/>
                <w:szCs w:val="24"/>
                <w:lang w:eastAsia="en-US"/>
              </w:rPr>
              <w:t xml:space="preserve">ООО «           </w:t>
            </w:r>
            <w:r w:rsidR="00A70612">
              <w:rPr>
                <w:rFonts w:ascii="Times New Roman" w:eastAsiaTheme="minorHAnsi" w:hAnsi="Times New Roman" w:cs="Times New Roman"/>
                <w:color w:val="auto"/>
                <w:sz w:val="24"/>
                <w:szCs w:val="24"/>
                <w:lang w:eastAsia="en-US"/>
              </w:rPr>
              <w:t>»</w:t>
            </w:r>
          </w:p>
        </w:tc>
      </w:tr>
      <w:tr w:rsidR="00E11058">
        <w:trPr>
          <w:trHeight w:val="24"/>
        </w:trPr>
        <w:tc>
          <w:tcPr>
            <w:tcW w:w="4927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11058" w:rsidRDefault="00E11058">
            <w:pPr>
              <w:pStyle w:val="afa"/>
              <w:spacing w:after="0"/>
              <w:rPr>
                <w:rFonts w:ascii="Times New Roman" w:eastAsiaTheme="minorHAnsi" w:hAnsi="Times New Roman" w:cs="Times New Roman"/>
                <w:color w:val="auto"/>
                <w:sz w:val="24"/>
                <w:szCs w:val="24"/>
                <w:lang w:eastAsia="en-US"/>
              </w:rPr>
            </w:pPr>
          </w:p>
          <w:p w:rsidR="00E11058" w:rsidRDefault="00E11058">
            <w:pPr>
              <w:pStyle w:val="afa"/>
              <w:spacing w:after="0"/>
              <w:rPr>
                <w:rFonts w:ascii="Times New Roman" w:eastAsiaTheme="minorHAnsi" w:hAnsi="Times New Roman" w:cs="Times New Roman"/>
                <w:color w:val="auto"/>
                <w:sz w:val="24"/>
                <w:szCs w:val="24"/>
                <w:lang w:eastAsia="en-US"/>
              </w:rPr>
            </w:pPr>
          </w:p>
          <w:p w:rsidR="00E11058" w:rsidRDefault="00B645CF">
            <w:pPr>
              <w:pStyle w:val="afa"/>
              <w:spacing w:after="0"/>
              <w:ind w:left="6"/>
              <w:rPr>
                <w:rFonts w:ascii="Times New Roman" w:eastAsiaTheme="minorHAnsi" w:hAnsi="Times New Roman" w:cs="Times New Roman"/>
                <w:color w:val="auto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4"/>
                <w:szCs w:val="24"/>
                <w:lang w:eastAsia="en-US"/>
              </w:rPr>
              <w:t xml:space="preserve">__________________/ </w:t>
            </w:r>
            <w:r w:rsidR="00A70612">
              <w:rPr>
                <w:rFonts w:ascii="Times New Roman" w:eastAsiaTheme="minorHAnsi" w:hAnsi="Times New Roman" w:cs="Times New Roman"/>
                <w:color w:val="auto"/>
                <w:sz w:val="24"/>
                <w:szCs w:val="24"/>
                <w:lang w:eastAsia="en-US"/>
              </w:rPr>
              <w:t xml:space="preserve"> /</w:t>
            </w:r>
          </w:p>
        </w:tc>
        <w:tc>
          <w:tcPr>
            <w:tcW w:w="4927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11058" w:rsidRDefault="00E11058">
            <w:pPr>
              <w:pStyle w:val="afa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after="0"/>
              <w:ind w:firstLine="26"/>
              <w:rPr>
                <w:rFonts w:ascii="Times New Roman" w:eastAsiaTheme="minorHAnsi" w:hAnsi="Times New Roman" w:cs="Times New Roman"/>
                <w:color w:val="auto"/>
                <w:sz w:val="24"/>
                <w:szCs w:val="24"/>
                <w:lang w:eastAsia="en-US"/>
              </w:rPr>
            </w:pPr>
          </w:p>
          <w:p w:rsidR="00E11058" w:rsidRDefault="00E11058">
            <w:pPr>
              <w:pStyle w:val="afa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after="0"/>
              <w:ind w:firstLine="26"/>
              <w:rPr>
                <w:rFonts w:ascii="Times New Roman" w:eastAsiaTheme="minorHAnsi" w:hAnsi="Times New Roman" w:cs="Times New Roman"/>
                <w:color w:val="auto"/>
                <w:sz w:val="24"/>
                <w:szCs w:val="24"/>
                <w:lang w:eastAsia="en-US"/>
              </w:rPr>
            </w:pPr>
          </w:p>
          <w:p w:rsidR="00E11058" w:rsidRDefault="003C79D8">
            <w:pPr>
              <w:pStyle w:val="afa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after="0"/>
              <w:ind w:firstLine="26"/>
              <w:rPr>
                <w:rFonts w:ascii="Times New Roman" w:eastAsiaTheme="minorHAnsi" w:hAnsi="Times New Roman" w:cs="Times New Roman"/>
                <w:color w:val="auto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4"/>
                <w:szCs w:val="24"/>
                <w:lang w:eastAsia="en-US"/>
              </w:rPr>
              <w:t xml:space="preserve">_________________/                      </w:t>
            </w:r>
            <w:r w:rsidR="00A70612">
              <w:rPr>
                <w:rFonts w:ascii="Times New Roman" w:eastAsiaTheme="minorHAnsi" w:hAnsi="Times New Roman" w:cs="Times New Roman"/>
                <w:color w:val="auto"/>
                <w:sz w:val="24"/>
                <w:szCs w:val="24"/>
                <w:lang w:eastAsia="en-US"/>
              </w:rPr>
              <w:t xml:space="preserve"> /</w:t>
            </w:r>
          </w:p>
        </w:tc>
      </w:tr>
    </w:tbl>
    <w:p w:rsidR="00E11058" w:rsidRDefault="00E11058">
      <w:pPr>
        <w:spacing w:after="0" w:line="240" w:lineRule="auto"/>
        <w:jc w:val="both"/>
      </w:pPr>
    </w:p>
    <w:sectPr w:rsidR="00E110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93491" w:rsidRDefault="00493491">
      <w:pPr>
        <w:spacing w:after="0" w:line="240" w:lineRule="auto"/>
      </w:pPr>
      <w:r>
        <w:separator/>
      </w:r>
    </w:p>
  </w:endnote>
  <w:endnote w:type="continuationSeparator" w:id="0">
    <w:p w:rsidR="00493491" w:rsidRDefault="004934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auto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93491" w:rsidRDefault="00493491">
      <w:pPr>
        <w:spacing w:after="0" w:line="240" w:lineRule="auto"/>
      </w:pPr>
      <w:r>
        <w:separator/>
      </w:r>
    </w:p>
  </w:footnote>
  <w:footnote w:type="continuationSeparator" w:id="0">
    <w:p w:rsidR="00493491" w:rsidRDefault="0049349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0B00F7A"/>
    <w:multiLevelType w:val="hybridMultilevel"/>
    <w:tmpl w:val="B824B078"/>
    <w:lvl w:ilvl="0" w:tplc="9EE2CF9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D8A08C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6321E0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C8279A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96C23A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9FCEC3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0F4854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94A009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CE06DF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1058"/>
    <w:rsid w:val="00063995"/>
    <w:rsid w:val="00244D2F"/>
    <w:rsid w:val="003C79D8"/>
    <w:rsid w:val="00493491"/>
    <w:rsid w:val="00495498"/>
    <w:rsid w:val="00544673"/>
    <w:rsid w:val="006A0B25"/>
    <w:rsid w:val="00754C26"/>
    <w:rsid w:val="00A70612"/>
    <w:rsid w:val="00B645CF"/>
    <w:rsid w:val="00E110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37B483"/>
  <w15:docId w15:val="{EBE9AF1F-2C40-463D-ADE6-E1423E87A7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5">
    <w:name w:val="Заголовок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ab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</w:style>
  <w:style w:type="paragraph" w:styleId="ac">
    <w:name w:val="footer"/>
    <w:basedOn w:val="a"/>
    <w:link w:val="ad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uiPriority w:val="99"/>
  </w:style>
  <w:style w:type="paragraph" w:styleId="ae">
    <w:name w:val="caption"/>
    <w:basedOn w:val="a"/>
    <w:next w:val="a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ad">
    <w:name w:val="Нижний колонтитул Знак"/>
    <w:link w:val="ac"/>
    <w:uiPriority w:val="99"/>
  </w:style>
  <w:style w:type="table" w:styleId="af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0">
    <w:name w:val="Hyperlink"/>
    <w:uiPriority w:val="99"/>
    <w:unhideWhenUsed/>
    <w:rPr>
      <w:color w:val="0000FF" w:themeColor="hyperlink"/>
      <w:u w:val="single"/>
    </w:rPr>
  </w:style>
  <w:style w:type="paragraph" w:styleId="af1">
    <w:name w:val="footnote text"/>
    <w:basedOn w:val="a"/>
    <w:link w:val="af2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2">
    <w:name w:val="Текст сноски Знак"/>
    <w:link w:val="af1"/>
    <w:uiPriority w:val="99"/>
    <w:rPr>
      <w:sz w:val="18"/>
    </w:rPr>
  </w:style>
  <w:style w:type="character" w:styleId="af3">
    <w:name w:val="footnote reference"/>
    <w:basedOn w:val="a0"/>
    <w:uiPriority w:val="99"/>
    <w:unhideWhenUsed/>
    <w:rPr>
      <w:vertAlign w:val="superscript"/>
    </w:rPr>
  </w:style>
  <w:style w:type="paragraph" w:styleId="af4">
    <w:name w:val="endnote text"/>
    <w:basedOn w:val="a"/>
    <w:link w:val="af5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5">
    <w:name w:val="Текст концевой сноски Знак"/>
    <w:link w:val="af4"/>
    <w:uiPriority w:val="99"/>
    <w:rPr>
      <w:sz w:val="20"/>
    </w:rPr>
  </w:style>
  <w:style w:type="character" w:styleId="af6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7">
    <w:name w:val="TOC Heading"/>
    <w:uiPriority w:val="39"/>
    <w:unhideWhenUsed/>
  </w:style>
  <w:style w:type="paragraph" w:styleId="af8">
    <w:name w:val="table of figures"/>
    <w:basedOn w:val="a"/>
    <w:next w:val="a"/>
    <w:uiPriority w:val="99"/>
    <w:unhideWhenUsed/>
    <w:pPr>
      <w:spacing w:after="0"/>
    </w:pPr>
  </w:style>
  <w:style w:type="paragraph" w:styleId="af9">
    <w:name w:val="List Paragraph"/>
    <w:basedOn w:val="a"/>
    <w:uiPriority w:val="34"/>
    <w:qFormat/>
    <w:pPr>
      <w:ind w:left="720"/>
      <w:contextualSpacing/>
    </w:pPr>
  </w:style>
  <w:style w:type="paragraph" w:styleId="afa">
    <w:name w:val="Body Text Indent"/>
    <w:link w:val="afb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120" w:line="240" w:lineRule="auto"/>
      <w:ind w:left="283"/>
    </w:pPr>
    <w:rPr>
      <w:rFonts w:ascii="Arial" w:eastAsia="Arial Unicode MS" w:hAnsi="Arial" w:cs="Arial Unicode MS"/>
      <w:color w:val="000000"/>
      <w:sz w:val="20"/>
      <w:szCs w:val="20"/>
      <w:lang w:eastAsia="ru-RU"/>
    </w:rPr>
  </w:style>
  <w:style w:type="character" w:customStyle="1" w:styleId="afb">
    <w:name w:val="Основной текст с отступом Знак"/>
    <w:basedOn w:val="a0"/>
    <w:link w:val="afa"/>
    <w:rPr>
      <w:rFonts w:ascii="Arial" w:eastAsia="Arial Unicode MS" w:hAnsi="Arial" w:cs="Arial Unicode MS"/>
      <w:color w:val="000000"/>
      <w:sz w:val="20"/>
      <w:szCs w:val="20"/>
      <w:lang w:eastAsia="ru-RU"/>
    </w:rPr>
  </w:style>
  <w:style w:type="paragraph" w:styleId="afc">
    <w:name w:val="Balloon Text"/>
    <w:basedOn w:val="a"/>
    <w:link w:val="afd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uiPriority w:val="99"/>
    <w:semiHidden/>
    <w:rPr>
      <w:rFonts w:ascii="Tahoma" w:hAnsi="Tahoma" w:cs="Tahoma"/>
      <w:sz w:val="16"/>
      <w:szCs w:val="16"/>
    </w:rPr>
  </w:style>
  <w:style w:type="paragraph" w:styleId="afe">
    <w:name w:val="Body Text"/>
    <w:basedOn w:val="a"/>
    <w:link w:val="aff"/>
    <w:uiPriority w:val="99"/>
    <w:semiHidden/>
    <w:unhideWhenUsed/>
    <w:pPr>
      <w:spacing w:after="120"/>
    </w:pPr>
  </w:style>
  <w:style w:type="character" w:customStyle="1" w:styleId="aff">
    <w:name w:val="Основной текст Знак"/>
    <w:basedOn w:val="a0"/>
    <w:link w:val="afe"/>
    <w:uiPriority w:val="99"/>
    <w:semiHidden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706</Words>
  <Characters>4027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MOESK</Company>
  <LinksUpToDate>false</LinksUpToDate>
  <CharactersWithSpaces>4724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Кремнев Александр Сергеевич</dc:creator>
  <cp:lastModifiedBy>Тутин Артур Янисович</cp:lastModifiedBy>
  <cp:revision>2</cp:revision>
  <dcterms:created xsi:type="dcterms:W3CDTF">2026-06-30T06:11:00Z</dcterms:created>
  <dcterms:modified xsi:type="dcterms:W3CDTF">2026-06-30T06:11:00Z</dcterms:modified>
</cp:coreProperties>
</file>